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D73376" w14:textId="77777777"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60450D">
        <w:t>55338</w:t>
      </w:r>
      <w:r w:rsidR="00DF17B9">
        <w:t xml:space="preserve"> </w:t>
      </w:r>
      <w:bookmarkEnd w:id="0"/>
      <w:bookmarkEnd w:id="1"/>
    </w:p>
    <w:tbl>
      <w:tblPr>
        <w:tblW w:w="0" w:type="auto"/>
        <w:tblLook w:val="01E0" w:firstRow="1" w:lastRow="1" w:firstColumn="1" w:lastColumn="1" w:noHBand="0" w:noVBand="0"/>
        <w:tblCaption w:val="Case Caption"/>
      </w:tblPr>
      <w:tblGrid>
        <w:gridCol w:w="4826"/>
        <w:gridCol w:w="336"/>
        <w:gridCol w:w="4198"/>
      </w:tblGrid>
      <w:tr w:rsidR="00DA790F" w:rsidRPr="008647EB" w14:paraId="33DB6A76" w14:textId="77777777" w:rsidTr="00E710D3">
        <w:trPr>
          <w:trHeight w:val="576"/>
        </w:trPr>
        <w:tc>
          <w:tcPr>
            <w:tcW w:w="4826" w:type="dxa"/>
          </w:tcPr>
          <w:bookmarkStart w:id="2" w:name="DocumentStyle"/>
          <w:p w14:paraId="7BDDE0F3" w14:textId="77777777" w:rsidR="00E710D3" w:rsidRPr="00E710D3" w:rsidRDefault="006762CC" w:rsidP="00912358">
            <w:pPr>
              <w:spacing w:after="0" w:line="240" w:lineRule="auto"/>
              <w:ind w:firstLine="0"/>
              <w:jc w:val="left"/>
              <w:rPr>
                <w:b/>
                <w:szCs w:val="20"/>
              </w:rPr>
            </w:pPr>
            <w:sdt>
              <w:sdtPr>
                <w:rPr>
                  <w:b/>
                  <w:caps/>
                  <w:szCs w:val="20"/>
                </w:rPr>
                <w:alias w:val="Case Style"/>
                <w:tag w:val="CS"/>
                <w:id w:val="-920102863"/>
                <w:placeholder>
                  <w:docPart w:val="8F6D10E449C14A32BFD4D4AAC3587DA4"/>
                </w:placeholder>
                <w15:appearance w15:val="hidden"/>
              </w:sdtPr>
              <w:sdtEndPr/>
              <w:sdtContent>
                <w:r w:rsidR="0060450D">
                  <w:rPr>
                    <w:b/>
                    <w:caps/>
                    <w:szCs w:val="20"/>
                  </w:rPr>
                  <w:t>PROCEEDING TO RESOLVE ISSUES IN DOCKET NO. 53719 RELATED TO TRANSPORTATION ELECTRIFICATION AND CHARGING INFRASTRUCTURE</w:t>
                </w:r>
              </w:sdtContent>
            </w:sdt>
            <w:bookmarkEnd w:id="2"/>
            <w:r w:rsidR="00912358">
              <w:rPr>
                <w:b/>
                <w:caps/>
                <w:szCs w:val="20"/>
              </w:rPr>
              <w:t xml:space="preserve"> </w:t>
            </w:r>
          </w:p>
        </w:tc>
        <w:tc>
          <w:tcPr>
            <w:tcW w:w="336" w:type="dxa"/>
            <w:noWrap/>
          </w:tcPr>
          <w:p w14:paraId="0A0BB521" w14:textId="77777777" w:rsidR="0060450D" w:rsidRDefault="0060450D" w:rsidP="008647EB">
            <w:pPr>
              <w:spacing w:after="0" w:line="240" w:lineRule="auto"/>
              <w:ind w:firstLine="0"/>
              <w:rPr>
                <w:b/>
                <w:szCs w:val="20"/>
              </w:rPr>
            </w:pPr>
            <w:r>
              <w:rPr>
                <w:b/>
                <w:szCs w:val="20"/>
              </w:rPr>
              <w:t>§</w:t>
            </w:r>
          </w:p>
          <w:p w14:paraId="7E30675C" w14:textId="77777777" w:rsidR="0060450D" w:rsidRDefault="0060450D" w:rsidP="008647EB">
            <w:pPr>
              <w:spacing w:after="0" w:line="240" w:lineRule="auto"/>
              <w:ind w:firstLine="0"/>
              <w:rPr>
                <w:b/>
                <w:szCs w:val="20"/>
              </w:rPr>
            </w:pPr>
            <w:r>
              <w:rPr>
                <w:b/>
                <w:szCs w:val="20"/>
              </w:rPr>
              <w:t>§</w:t>
            </w:r>
          </w:p>
          <w:p w14:paraId="21FA335A" w14:textId="77777777" w:rsidR="0060450D" w:rsidRDefault="0060450D" w:rsidP="008647EB">
            <w:pPr>
              <w:spacing w:after="0" w:line="240" w:lineRule="auto"/>
              <w:ind w:firstLine="0"/>
              <w:rPr>
                <w:b/>
                <w:szCs w:val="20"/>
              </w:rPr>
            </w:pPr>
            <w:r>
              <w:rPr>
                <w:b/>
                <w:szCs w:val="20"/>
              </w:rPr>
              <w:t>§</w:t>
            </w:r>
          </w:p>
          <w:p w14:paraId="1690D226" w14:textId="77777777" w:rsidR="00DA790F" w:rsidRPr="008647EB" w:rsidRDefault="0060450D" w:rsidP="008647EB">
            <w:pPr>
              <w:spacing w:after="0" w:line="240" w:lineRule="auto"/>
              <w:ind w:firstLine="0"/>
              <w:rPr>
                <w:b/>
                <w:szCs w:val="20"/>
              </w:rPr>
            </w:pPr>
            <w:r>
              <w:rPr>
                <w:b/>
                <w:szCs w:val="20"/>
              </w:rPr>
              <w:t>§</w:t>
            </w:r>
          </w:p>
        </w:tc>
        <w:tc>
          <w:tcPr>
            <w:tcW w:w="4198" w:type="dxa"/>
          </w:tcPr>
          <w:p w14:paraId="4CDAB619"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7D88C30E"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02AFF876"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038FEF10" w14:textId="77777777" w:rsidR="00DA790F" w:rsidRPr="008647EB" w:rsidRDefault="00DA790F" w:rsidP="008647EB">
      <w:pPr>
        <w:spacing w:after="0" w:line="240" w:lineRule="auto"/>
        <w:ind w:firstLine="0"/>
        <w:jc w:val="center"/>
        <w:rPr>
          <w:b/>
          <w:caps/>
        </w:rPr>
      </w:pPr>
    </w:p>
    <w:p w14:paraId="0FD36CA2" w14:textId="68F657E1" w:rsidR="007C1C19" w:rsidRPr="008647EB" w:rsidRDefault="007A50E5" w:rsidP="007C1C19">
      <w:pPr>
        <w:pStyle w:val="CaseCaption"/>
        <w:spacing w:after="0"/>
        <w:contextualSpacing w:val="0"/>
      </w:pPr>
      <w:r>
        <w:t xml:space="preserve">COMMISSION STAFF’s </w:t>
      </w:r>
      <w:r w:rsidR="009B6B36">
        <w:t>LIST OF ISSUES</w:t>
      </w:r>
    </w:p>
    <w:p w14:paraId="1F1A6E83" w14:textId="540E5375" w:rsidR="007A50E5" w:rsidRDefault="007A50E5" w:rsidP="007C1C19">
      <w:pPr>
        <w:pStyle w:val="Paragraph"/>
        <w:rPr>
          <w:iCs/>
        </w:rPr>
      </w:pPr>
    </w:p>
    <w:p w14:paraId="44A48E5D" w14:textId="02CF1259" w:rsidR="007A50E5" w:rsidRDefault="007A50E5" w:rsidP="007C1C19">
      <w:pPr>
        <w:pStyle w:val="Paragraph"/>
        <w:rPr>
          <w:iCs/>
        </w:rPr>
      </w:pPr>
      <w:r>
        <w:t>On July 1,</w:t>
      </w:r>
      <w:r w:rsidR="00D87BBF">
        <w:t xml:space="preserve"> </w:t>
      </w:r>
      <w:r>
        <w:t>2022, Energy Texas, Inc. (ETI) filed an application in Docket No. 53719</w:t>
      </w:r>
      <w:r w:rsidR="00D87BBF">
        <w:t>,</w:t>
      </w:r>
      <w:r>
        <w:rPr>
          <w:rStyle w:val="FootnoteReference"/>
        </w:rPr>
        <w:footnoteReference w:id="2"/>
      </w:r>
      <w:r>
        <w:t xml:space="preserve"> </w:t>
      </w:r>
      <w:r w:rsidR="00D87BBF">
        <w:t xml:space="preserve">relevantly </w:t>
      </w:r>
      <w:r>
        <w:t>request</w:t>
      </w:r>
      <w:r w:rsidR="00D87BBF">
        <w:t>ing</w:t>
      </w:r>
      <w:r>
        <w:t xml:space="preserve"> for approval of new Transportation Electrification and Charging Infrastructure and Transportation Electrification and Charging Demand Adjustment riders. In the </w:t>
      </w:r>
      <w:r w:rsidR="00D87BBF">
        <w:t>O</w:t>
      </w:r>
      <w:r>
        <w:t>n August 16,</w:t>
      </w:r>
      <w:r w:rsidR="00D87BBF">
        <w:t xml:space="preserve"> </w:t>
      </w:r>
      <w:r>
        <w:t xml:space="preserve">2023, </w:t>
      </w:r>
      <w:r w:rsidR="00D87BBF">
        <w:t xml:space="preserve">the Public Utility Commission of Texas </w:t>
      </w:r>
      <w:r w:rsidR="00857F0A">
        <w:t xml:space="preserve">(Commission) </w:t>
      </w:r>
      <w:r w:rsidR="00D87BBF">
        <w:t xml:space="preserve">filed an order severing </w:t>
      </w:r>
      <w:r>
        <w:t xml:space="preserve">the two issues related to transportation electrification and charging </w:t>
      </w:r>
      <w:r w:rsidR="00D87BBF">
        <w:t xml:space="preserve">infrastructure </w:t>
      </w:r>
      <w:r>
        <w:t xml:space="preserve">from Docket No. 53719 </w:t>
      </w:r>
      <w:r w:rsidR="00D87BBF">
        <w:t>into</w:t>
      </w:r>
      <w:r>
        <w:t xml:space="preserve"> this proceeding.</w:t>
      </w:r>
    </w:p>
    <w:p w14:paraId="0D099E90" w14:textId="5CFF95E8" w:rsidR="007C1C19" w:rsidRDefault="009B6B36" w:rsidP="007C1C19">
      <w:pPr>
        <w:pStyle w:val="Paragraph"/>
      </w:pPr>
      <w:r>
        <w:rPr>
          <w:iCs/>
        </w:rPr>
        <w:t xml:space="preserve">On </w:t>
      </w:r>
      <w:r>
        <w:t xml:space="preserve">October 17, 2023, </w:t>
      </w:r>
      <w:r w:rsidR="00857F0A">
        <w:t xml:space="preserve">Commission </w:t>
      </w:r>
      <w:r>
        <w:t>Counsel filed an order requesting list of issues requiring ETI and allowing Commission Staff (Staff) and any other interested party, to file a list of issues by November 6, 2023. Therefore, this pleading is timely filed.</w:t>
      </w:r>
    </w:p>
    <w:p w14:paraId="4514A060" w14:textId="77777777" w:rsidR="007C1C19" w:rsidRPr="004B6D44" w:rsidRDefault="007C1C19" w:rsidP="007C1C19">
      <w:pPr>
        <w:pStyle w:val="Paragraph"/>
        <w:rPr>
          <w:iCs/>
        </w:rPr>
      </w:pPr>
    </w:p>
    <w:p w14:paraId="43596734" w14:textId="63ACE050" w:rsidR="007C1C19" w:rsidRDefault="009B6B36" w:rsidP="007C1C19">
      <w:pPr>
        <w:pStyle w:val="Heading1"/>
        <w:tabs>
          <w:tab w:val="clear" w:pos="1440"/>
        </w:tabs>
        <w:spacing w:before="0" w:after="0" w:line="360" w:lineRule="auto"/>
        <w:ind w:left="0" w:right="0"/>
      </w:pPr>
      <w:r>
        <w:t>PROPOSED LIST OF ISSUES</w:t>
      </w:r>
    </w:p>
    <w:p w14:paraId="3E7C5C40" w14:textId="7F0D12CF" w:rsidR="007C1C19" w:rsidRDefault="009B6B36" w:rsidP="009B6B36">
      <w:pPr>
        <w:pStyle w:val="Paragraph"/>
      </w:pPr>
      <w:r>
        <w:t>Staff has identified the following issues to be addressed in this docket.</w:t>
      </w:r>
    </w:p>
    <w:p w14:paraId="339780B7" w14:textId="5A990317" w:rsidR="009B6B36" w:rsidRPr="009B6B36" w:rsidRDefault="009B6B36" w:rsidP="009B6B36">
      <w:pPr>
        <w:pStyle w:val="Paragraph"/>
        <w:ind w:firstLine="0"/>
        <w:rPr>
          <w:b/>
          <w:bCs/>
          <w:i/>
          <w:iCs/>
          <w:u w:val="single"/>
        </w:rPr>
      </w:pPr>
      <w:r>
        <w:rPr>
          <w:b/>
          <w:bCs/>
          <w:i/>
          <w:iCs/>
          <w:u w:val="single"/>
        </w:rPr>
        <w:t>TECI-1 Rider</w:t>
      </w:r>
    </w:p>
    <w:p w14:paraId="023DBEC0" w14:textId="3A0D149E" w:rsidR="004C45BE" w:rsidRDefault="004C45BE" w:rsidP="004C45BE">
      <w:pPr>
        <w:pStyle w:val="Paragraph"/>
        <w:numPr>
          <w:ilvl w:val="0"/>
          <w:numId w:val="27"/>
        </w:numPr>
        <w:ind w:left="360"/>
      </w:pPr>
      <w:r>
        <w:t>Will ETI provide electric vehicle charging service to the public as defined PURA §</w:t>
      </w:r>
      <w:r w:rsidR="00E05082">
        <w:t> </w:t>
      </w:r>
      <w:r>
        <w:t>42.010</w:t>
      </w:r>
      <w:r w:rsidR="00F701DF">
        <w:t>2</w:t>
      </w:r>
      <w:r>
        <w:t>(4)?</w:t>
      </w:r>
    </w:p>
    <w:p w14:paraId="68FE8CCF" w14:textId="2DB3843F" w:rsidR="004C45BE" w:rsidRDefault="004C45BE" w:rsidP="004C45BE">
      <w:pPr>
        <w:pStyle w:val="Paragraph"/>
        <w:numPr>
          <w:ilvl w:val="0"/>
          <w:numId w:val="27"/>
        </w:numPr>
        <w:ind w:left="360"/>
      </w:pPr>
      <w:r>
        <w:t>Will ETI own or operate any public electric vehicle charging stations as defined in PURA §</w:t>
      </w:r>
      <w:r w:rsidR="00E05082">
        <w:t> </w:t>
      </w:r>
      <w:r>
        <w:t>42.0102(7)?</w:t>
      </w:r>
    </w:p>
    <w:p w14:paraId="50BC13DB" w14:textId="1B04990F" w:rsidR="004C45BE" w:rsidRDefault="004C45BE" w:rsidP="004C45BE">
      <w:pPr>
        <w:pStyle w:val="Paragraph"/>
        <w:numPr>
          <w:ilvl w:val="0"/>
          <w:numId w:val="27"/>
        </w:numPr>
        <w:ind w:left="360"/>
      </w:pPr>
      <w:r>
        <w:t>Will customers who participate to use the TEC</w:t>
      </w:r>
      <w:r w:rsidR="00E05082">
        <w:t>I</w:t>
      </w:r>
      <w:r>
        <w:t>-1 Rider own the electric vehicle charging s</w:t>
      </w:r>
      <w:r w:rsidR="00B3059B">
        <w:t>ta</w:t>
      </w:r>
      <w:r>
        <w:t>tions or other equipment on the customer side of the meter?</w:t>
      </w:r>
    </w:p>
    <w:p w14:paraId="3EF02DFC" w14:textId="77777777" w:rsidR="004C45BE" w:rsidRDefault="004C45BE" w:rsidP="004C45BE">
      <w:pPr>
        <w:pStyle w:val="Paragraph"/>
        <w:numPr>
          <w:ilvl w:val="0"/>
          <w:numId w:val="27"/>
        </w:numPr>
        <w:ind w:left="360"/>
      </w:pPr>
      <w:r>
        <w:t>Does the TECI-1 Rider comply with the requirements of PURA § 42.0103(o) regarding site hosting requirements?</w:t>
      </w:r>
    </w:p>
    <w:p w14:paraId="303D68F4" w14:textId="191B11C7" w:rsidR="004C45BE" w:rsidRDefault="004C45BE" w:rsidP="004C45BE">
      <w:pPr>
        <w:pStyle w:val="Paragraph"/>
        <w:numPr>
          <w:ilvl w:val="1"/>
          <w:numId w:val="27"/>
        </w:numPr>
      </w:pPr>
      <w:r>
        <w:lastRenderedPageBreak/>
        <w:t xml:space="preserve">Will a person who is not an electric utility or an affiliate be able to enter an agreement with </w:t>
      </w:r>
      <w:r w:rsidR="00E05082">
        <w:t>ETI</w:t>
      </w:r>
      <w:r>
        <w:t xml:space="preserve"> to own or operate a public electric vehicle charging station on the person's property?</w:t>
      </w:r>
    </w:p>
    <w:p w14:paraId="6C8A8443" w14:textId="55948DEC" w:rsidR="004C45BE" w:rsidRDefault="004C45BE" w:rsidP="004C45BE">
      <w:pPr>
        <w:pStyle w:val="Paragraph"/>
        <w:numPr>
          <w:ilvl w:val="1"/>
          <w:numId w:val="27"/>
        </w:numPr>
      </w:pPr>
      <w:r>
        <w:t>Will ETI not be providing electric vehicle charging service to the public?</w:t>
      </w:r>
    </w:p>
    <w:p w14:paraId="3F15742C" w14:textId="3AFCDBAF" w:rsidR="00E05082" w:rsidRDefault="00E05082" w:rsidP="004C45BE">
      <w:pPr>
        <w:pStyle w:val="Paragraph"/>
        <w:numPr>
          <w:ilvl w:val="1"/>
          <w:numId w:val="27"/>
        </w:numPr>
      </w:pPr>
      <w:r>
        <w:t>Will ETI not brand or market the public electric vehicle charging station as owned or operated by the utility, including by presenting the utility's name, logo, or any other distinguishing mark to indicate that the utility owns or operates the public electric vehicle charging station?</w:t>
      </w:r>
    </w:p>
    <w:p w14:paraId="11849767" w14:textId="65435FB6" w:rsidR="00E05082" w:rsidRDefault="00E05082" w:rsidP="004C45BE">
      <w:pPr>
        <w:pStyle w:val="Paragraph"/>
        <w:numPr>
          <w:ilvl w:val="1"/>
          <w:numId w:val="27"/>
        </w:numPr>
      </w:pPr>
      <w:r>
        <w:t>Will the person solely determine the physical access to and use of the public electric vehicle charging station necessary to carry out responsibilities associated with ownership and operation of the public electric vehicle charging station; and prices for the electric vehicle charging service?</w:t>
      </w:r>
    </w:p>
    <w:p w14:paraId="64BBA773" w14:textId="03FE8B67" w:rsidR="00E05082" w:rsidRDefault="00E05082" w:rsidP="00E05082">
      <w:pPr>
        <w:pStyle w:val="Paragraph"/>
        <w:numPr>
          <w:ilvl w:val="1"/>
          <w:numId w:val="27"/>
        </w:numPr>
      </w:pPr>
      <w:r>
        <w:t xml:space="preserve">Will the person pay for all electric utility-related costs under the proposed </w:t>
      </w:r>
      <w:r w:rsidR="009374A6">
        <w:t>TECI-1 Rider</w:t>
      </w:r>
      <w:r>
        <w:t xml:space="preserve">, and will the </w:t>
      </w:r>
      <w:r w:rsidR="009374A6">
        <w:t>TECI-1 Rider</w:t>
      </w:r>
      <w:r>
        <w:t xml:space="preserve"> provide for full recovery of the costs of the public electric vehicle charging station from the person, including incremental revenues paid by the person to the utility associated with the electric vehicle charging service?</w:t>
      </w:r>
    </w:p>
    <w:p w14:paraId="34EE7EF0" w14:textId="63725C71" w:rsidR="00E05082" w:rsidRDefault="00E05082" w:rsidP="00E05082">
      <w:pPr>
        <w:pStyle w:val="Paragraph"/>
        <w:numPr>
          <w:ilvl w:val="0"/>
          <w:numId w:val="27"/>
        </w:numPr>
        <w:ind w:left="360"/>
      </w:pPr>
      <w:r>
        <w:t xml:space="preserve">Will ETI offer service under the terms of the </w:t>
      </w:r>
      <w:r w:rsidR="009374A6">
        <w:t>TECI-1 Rider</w:t>
      </w:r>
      <w:r>
        <w:t xml:space="preserve"> to other persons seeking agreements in ETI's service area on a nondiscriminatory basis under PURA § 42.0103(p)(1)?</w:t>
      </w:r>
    </w:p>
    <w:p w14:paraId="133F49CE" w14:textId="25C1D714" w:rsidR="00E05082" w:rsidRDefault="00E05082" w:rsidP="00E05082">
      <w:pPr>
        <w:pStyle w:val="Paragraph"/>
        <w:numPr>
          <w:ilvl w:val="0"/>
          <w:numId w:val="27"/>
        </w:numPr>
        <w:ind w:left="360"/>
      </w:pPr>
      <w:r>
        <w:t>Will the revenue collected by ETI under each agreement with a participating person allow the utility to recover the costs of owning, constructing, financing, operating, and maintaining the public electric vehicle charging station from the person and not the utility's other customers under PURA § 42.0103(p)(2)?</w:t>
      </w:r>
    </w:p>
    <w:p w14:paraId="6FED9B68" w14:textId="77777777" w:rsidR="00E05082" w:rsidRDefault="00E05082" w:rsidP="00BB169A">
      <w:pPr>
        <w:pStyle w:val="Paragraph"/>
        <w:numPr>
          <w:ilvl w:val="1"/>
          <w:numId w:val="27"/>
        </w:numPr>
      </w:pPr>
      <w:r>
        <w:t>What impacts will there be on customers participating in the TECI-1 Rider?</w:t>
      </w:r>
    </w:p>
    <w:p w14:paraId="096FE27A" w14:textId="77777777" w:rsidR="00E05082" w:rsidRDefault="00E05082" w:rsidP="00BB169A">
      <w:pPr>
        <w:pStyle w:val="Paragraph"/>
        <w:numPr>
          <w:ilvl w:val="1"/>
          <w:numId w:val="27"/>
        </w:numPr>
      </w:pPr>
      <w:r>
        <w:t>What impacts will there be on non-participating customers?</w:t>
      </w:r>
    </w:p>
    <w:p w14:paraId="1864D936" w14:textId="36E14D0F" w:rsidR="00E05082" w:rsidRDefault="00E05082" w:rsidP="00BB169A">
      <w:pPr>
        <w:pStyle w:val="Paragraph"/>
        <w:numPr>
          <w:ilvl w:val="1"/>
          <w:numId w:val="27"/>
        </w:numPr>
      </w:pPr>
      <w:r>
        <w:t>What, if any, conditions should be placed on approval to ensure that non-participating Texas customers are not unreasonably affected by approval of ETI’s application?</w:t>
      </w:r>
    </w:p>
    <w:p w14:paraId="3CBC05B6" w14:textId="5E688903" w:rsidR="004C45BE" w:rsidRDefault="00AC6F85" w:rsidP="004C45BE">
      <w:pPr>
        <w:pStyle w:val="Paragraph"/>
        <w:numPr>
          <w:ilvl w:val="0"/>
          <w:numId w:val="27"/>
        </w:numPr>
        <w:ind w:left="360"/>
      </w:pPr>
      <w:r>
        <w:t>Is ETI proposing to subsidize the costs of make-ready infrastructure through rates or charges for services provided by the electric utility's regulated services as permitted under PURA § 42.0103(d)?</w:t>
      </w:r>
    </w:p>
    <w:p w14:paraId="4E0272B4" w14:textId="2F5EA0F8" w:rsidR="004C45BE" w:rsidRDefault="004C45BE" w:rsidP="004C45BE">
      <w:pPr>
        <w:pStyle w:val="Paragraph"/>
        <w:numPr>
          <w:ilvl w:val="1"/>
          <w:numId w:val="27"/>
        </w:numPr>
      </w:pPr>
      <w:r>
        <w:lastRenderedPageBreak/>
        <w:t xml:space="preserve">If so, does the TECI-1 Rider </w:t>
      </w:r>
      <w:r w:rsidR="001C1624">
        <w:t xml:space="preserve">clearly </w:t>
      </w:r>
      <w:r>
        <w:t xml:space="preserve">differentiate between infrastructure that is make-ready </w:t>
      </w:r>
      <w:r w:rsidR="00E05082">
        <w:t xml:space="preserve">and infrastructure that is not </w:t>
      </w:r>
      <w:r>
        <w:t>make-ready?</w:t>
      </w:r>
    </w:p>
    <w:p w14:paraId="47E66756" w14:textId="050327C1" w:rsidR="00AC6F85" w:rsidRDefault="00AC6F85" w:rsidP="00AC6F85">
      <w:pPr>
        <w:pStyle w:val="Paragraph"/>
        <w:numPr>
          <w:ilvl w:val="0"/>
          <w:numId w:val="27"/>
        </w:numPr>
        <w:ind w:left="360"/>
      </w:pPr>
      <w:r>
        <w:t>Do the proposed rates for the TECI-1 Rider comply with the requirements of PURA § 36.003?</w:t>
      </w:r>
    </w:p>
    <w:p w14:paraId="6D173B7C" w14:textId="77777777" w:rsidR="00AC6F85" w:rsidRDefault="00AC6F85" w:rsidP="00AC6F85">
      <w:pPr>
        <w:pStyle w:val="Paragraph"/>
        <w:numPr>
          <w:ilvl w:val="1"/>
          <w:numId w:val="27"/>
        </w:numPr>
        <w:ind w:left="720"/>
      </w:pPr>
      <w:r>
        <w:t>Is the rate just and reasonable?</w:t>
      </w:r>
    </w:p>
    <w:p w14:paraId="2F51FDCF" w14:textId="77777777" w:rsidR="00AC6F85" w:rsidRDefault="00AC6F85" w:rsidP="00AC6F85">
      <w:pPr>
        <w:pStyle w:val="Paragraph"/>
        <w:numPr>
          <w:ilvl w:val="1"/>
          <w:numId w:val="27"/>
        </w:numPr>
        <w:ind w:left="720"/>
      </w:pPr>
      <w:r>
        <w:t>Is the rate not unreasonably preferential, prejudicial, or discriminatory?</w:t>
      </w:r>
    </w:p>
    <w:p w14:paraId="7782A81E" w14:textId="77777777" w:rsidR="00AC6F85" w:rsidRDefault="00AC6F85" w:rsidP="00AC6F85">
      <w:pPr>
        <w:pStyle w:val="Paragraph"/>
        <w:numPr>
          <w:ilvl w:val="1"/>
          <w:numId w:val="27"/>
        </w:numPr>
        <w:ind w:left="720"/>
      </w:pPr>
      <w:r>
        <w:t>Is the rate sufficient, equitable, and consisted in application to each class of consumer?</w:t>
      </w:r>
    </w:p>
    <w:p w14:paraId="0B84AA30" w14:textId="77777777" w:rsidR="009B6B36" w:rsidRPr="009B6B36" w:rsidRDefault="009B6B36" w:rsidP="009B6B36">
      <w:pPr>
        <w:pStyle w:val="Paragraph"/>
        <w:ind w:firstLine="0"/>
        <w:rPr>
          <w:b/>
          <w:bCs/>
          <w:i/>
          <w:iCs/>
          <w:u w:val="single"/>
        </w:rPr>
      </w:pPr>
      <w:r>
        <w:rPr>
          <w:b/>
          <w:bCs/>
          <w:i/>
          <w:iCs/>
          <w:u w:val="single"/>
        </w:rPr>
        <w:t>TECDA-1 Rider</w:t>
      </w:r>
    </w:p>
    <w:p w14:paraId="476AB72D" w14:textId="51836FEA" w:rsidR="009B6B36" w:rsidRDefault="009B6B36" w:rsidP="009B6B36">
      <w:pPr>
        <w:pStyle w:val="Paragraph"/>
        <w:numPr>
          <w:ilvl w:val="0"/>
          <w:numId w:val="27"/>
        </w:numPr>
        <w:ind w:left="360"/>
      </w:pPr>
      <w:r>
        <w:t xml:space="preserve">Do the proposed rates for the TECDA-1 Rider comply with the requirements of PURA </w:t>
      </w:r>
      <w:r w:rsidR="00CB0A97">
        <w:t>§ 36.003?</w:t>
      </w:r>
    </w:p>
    <w:p w14:paraId="3A69486A" w14:textId="32A920E3" w:rsidR="00CB0A97" w:rsidRDefault="00CB0A97" w:rsidP="00CB0A97">
      <w:pPr>
        <w:pStyle w:val="Paragraph"/>
        <w:numPr>
          <w:ilvl w:val="1"/>
          <w:numId w:val="27"/>
        </w:numPr>
        <w:ind w:left="720"/>
      </w:pPr>
      <w:r>
        <w:t>Is the rate just and reasonable?</w:t>
      </w:r>
    </w:p>
    <w:p w14:paraId="1D5F7FF4" w14:textId="2816814B" w:rsidR="00CB0A97" w:rsidRDefault="00CB0A97" w:rsidP="00CB0A97">
      <w:pPr>
        <w:pStyle w:val="Paragraph"/>
        <w:numPr>
          <w:ilvl w:val="1"/>
          <w:numId w:val="27"/>
        </w:numPr>
        <w:ind w:left="720"/>
      </w:pPr>
      <w:r>
        <w:t>Is the rate not unreasonably preferential, prejudicial, or discriminatory?</w:t>
      </w:r>
    </w:p>
    <w:p w14:paraId="026AF391" w14:textId="2BD45E4B" w:rsidR="00CB0A97" w:rsidRDefault="00CB0A97" w:rsidP="00CB0A97">
      <w:pPr>
        <w:pStyle w:val="Paragraph"/>
        <w:numPr>
          <w:ilvl w:val="1"/>
          <w:numId w:val="27"/>
        </w:numPr>
        <w:ind w:left="720"/>
      </w:pPr>
      <w:r>
        <w:t>Is the rate sufficient, equitable, and consisted in application to each class of consumer?</w:t>
      </w:r>
    </w:p>
    <w:p w14:paraId="65B4508F" w14:textId="2A673E0C" w:rsidR="00CB0A97" w:rsidRDefault="00CB0A97" w:rsidP="009B6B36">
      <w:pPr>
        <w:pStyle w:val="Paragraph"/>
        <w:numPr>
          <w:ilvl w:val="0"/>
          <w:numId w:val="27"/>
        </w:numPr>
        <w:ind w:left="360"/>
      </w:pPr>
      <w:r>
        <w:t>Is the proposed rate, with a billing demand adjustment, a discounted rated under PURA § 36.007?</w:t>
      </w:r>
    </w:p>
    <w:p w14:paraId="4A0A9FC6" w14:textId="5ECFA0B3" w:rsidR="00F637E3" w:rsidRDefault="00CB0A97" w:rsidP="00F637E3">
      <w:pPr>
        <w:pStyle w:val="Paragraph"/>
        <w:numPr>
          <w:ilvl w:val="0"/>
          <w:numId w:val="27"/>
        </w:numPr>
        <w:ind w:left="360"/>
      </w:pPr>
      <w:r>
        <w:t xml:space="preserve">What impacts will there be on customers </w:t>
      </w:r>
      <w:r w:rsidR="009374A6">
        <w:t>participating</w:t>
      </w:r>
      <w:r>
        <w:t xml:space="preserve"> in the TECDA-1 Rider?</w:t>
      </w:r>
    </w:p>
    <w:p w14:paraId="7BEFD4BC" w14:textId="4E23DB56" w:rsidR="00CB0A97" w:rsidRDefault="00CB0A97" w:rsidP="009B6B36">
      <w:pPr>
        <w:pStyle w:val="Paragraph"/>
        <w:numPr>
          <w:ilvl w:val="0"/>
          <w:numId w:val="27"/>
        </w:numPr>
        <w:ind w:left="360"/>
      </w:pPr>
      <w:r>
        <w:t xml:space="preserve">What impacts will there be on </w:t>
      </w:r>
      <w:r w:rsidR="009374A6">
        <w:t xml:space="preserve">non-participating </w:t>
      </w:r>
      <w:r>
        <w:t>customers?</w:t>
      </w:r>
    </w:p>
    <w:p w14:paraId="248E2AEC" w14:textId="7C56010D" w:rsidR="00F637E3" w:rsidRDefault="00F637E3" w:rsidP="009B6B36">
      <w:pPr>
        <w:pStyle w:val="Paragraph"/>
        <w:numPr>
          <w:ilvl w:val="0"/>
          <w:numId w:val="27"/>
        </w:numPr>
        <w:ind w:left="360"/>
      </w:pPr>
      <w:r>
        <w:t>What, if any, conditions should be place</w:t>
      </w:r>
      <w:r w:rsidR="00E05082">
        <w:t>d</w:t>
      </w:r>
      <w:r>
        <w:t xml:space="preserve"> on approval to ensure that non-participating Texas customers are not unreasonably affected by approval of ETI’s application?</w:t>
      </w:r>
    </w:p>
    <w:p w14:paraId="21A786C2" w14:textId="77777777" w:rsidR="007C1C19" w:rsidRPr="00FE5A24" w:rsidRDefault="007C1C19" w:rsidP="00D87BBF">
      <w:pPr>
        <w:pStyle w:val="Paragraph"/>
        <w:ind w:firstLine="0"/>
      </w:pPr>
    </w:p>
    <w:p w14:paraId="18F14834" w14:textId="13B2F040" w:rsidR="009B6B36" w:rsidRDefault="009B6B36" w:rsidP="007C1C19">
      <w:pPr>
        <w:pStyle w:val="Heading1"/>
        <w:tabs>
          <w:tab w:val="clear" w:pos="1440"/>
        </w:tabs>
        <w:spacing w:before="0" w:after="0" w:line="360" w:lineRule="auto"/>
        <w:ind w:left="0" w:right="0"/>
      </w:pPr>
      <w:r>
        <w:t>ISSUES NOT TO BE ADDRESSED</w:t>
      </w:r>
    </w:p>
    <w:p w14:paraId="52B7819E" w14:textId="6A696ECA" w:rsidR="009B6B36" w:rsidRDefault="009B6B36" w:rsidP="009B6B36">
      <w:pPr>
        <w:pStyle w:val="Paragraph"/>
      </w:pPr>
      <w:r>
        <w:t xml:space="preserve">Staff has not identified any issues not to be addressed. </w:t>
      </w:r>
    </w:p>
    <w:p w14:paraId="69CC18E4" w14:textId="77777777" w:rsidR="009B6B36" w:rsidRPr="009B6B36" w:rsidRDefault="009B6B36" w:rsidP="009B6B36">
      <w:pPr>
        <w:pStyle w:val="Paragraph"/>
      </w:pPr>
    </w:p>
    <w:p w14:paraId="32E99200" w14:textId="3F93820F" w:rsidR="007C1C19" w:rsidRDefault="007C1C19" w:rsidP="007C1C19">
      <w:pPr>
        <w:pStyle w:val="Heading1"/>
        <w:tabs>
          <w:tab w:val="clear" w:pos="1440"/>
        </w:tabs>
        <w:spacing w:before="0" w:after="0" w:line="360" w:lineRule="auto"/>
        <w:ind w:left="0" w:right="0"/>
      </w:pPr>
      <w:r w:rsidRPr="005E0AD2">
        <w:t>CONCLUSION</w:t>
      </w:r>
    </w:p>
    <w:p w14:paraId="4592D574" w14:textId="1DBD7B43" w:rsidR="007C1C19" w:rsidRDefault="009B6B36" w:rsidP="009B6B36">
      <w:pPr>
        <w:autoSpaceDE w:val="0"/>
        <w:autoSpaceDN w:val="0"/>
        <w:adjustRightInd w:val="0"/>
        <w:spacing w:after="0"/>
        <w:rPr>
          <w:bCs/>
        </w:rPr>
      </w:pPr>
      <w:r>
        <w:t>Staff respectfully requests that its list of issues be among the issues considered by the Commission in this proceeding.</w:t>
      </w:r>
    </w:p>
    <w:p w14:paraId="14E0B6F2" w14:textId="0BD7279A" w:rsidR="00D87BBF" w:rsidRDefault="00D87BBF" w:rsidP="007C1C19">
      <w:pPr>
        <w:autoSpaceDE w:val="0"/>
        <w:autoSpaceDN w:val="0"/>
        <w:adjustRightInd w:val="0"/>
        <w:spacing w:after="0"/>
        <w:ind w:firstLine="0"/>
        <w:rPr>
          <w:bCs/>
        </w:rPr>
      </w:pPr>
    </w:p>
    <w:p w14:paraId="5816EF93" w14:textId="02F1AFD3" w:rsidR="00D87BBF" w:rsidRDefault="00D87BBF" w:rsidP="007C1C19">
      <w:pPr>
        <w:autoSpaceDE w:val="0"/>
        <w:autoSpaceDN w:val="0"/>
        <w:adjustRightInd w:val="0"/>
        <w:spacing w:after="0"/>
        <w:ind w:firstLine="0"/>
        <w:rPr>
          <w:bCs/>
        </w:rPr>
      </w:pPr>
    </w:p>
    <w:p w14:paraId="0CF2E7D4" w14:textId="77777777" w:rsidR="00D87BBF" w:rsidRDefault="00D87BBF" w:rsidP="007C1C19">
      <w:pPr>
        <w:autoSpaceDE w:val="0"/>
        <w:autoSpaceDN w:val="0"/>
        <w:adjustRightInd w:val="0"/>
        <w:spacing w:after="0"/>
        <w:ind w:firstLine="0"/>
        <w:rPr>
          <w:bCs/>
        </w:rPr>
      </w:pPr>
    </w:p>
    <w:p w14:paraId="4043CB25" w14:textId="77777777" w:rsidR="00CE4CEE" w:rsidRDefault="00CE4CEE" w:rsidP="007C1C19">
      <w:pPr>
        <w:autoSpaceDE w:val="0"/>
        <w:autoSpaceDN w:val="0"/>
        <w:adjustRightInd w:val="0"/>
        <w:spacing w:after="0"/>
        <w:ind w:firstLine="0"/>
        <w:rPr>
          <w:bCs/>
        </w:rPr>
      </w:pPr>
    </w:p>
    <w:p w14:paraId="65DFAC23" w14:textId="77777777" w:rsidR="00CE4CEE" w:rsidRDefault="00CE4CEE" w:rsidP="007C1C19">
      <w:pPr>
        <w:autoSpaceDE w:val="0"/>
        <w:autoSpaceDN w:val="0"/>
        <w:adjustRightInd w:val="0"/>
        <w:spacing w:after="0"/>
        <w:ind w:firstLine="0"/>
        <w:rPr>
          <w:bCs/>
        </w:rPr>
      </w:pPr>
    </w:p>
    <w:p w14:paraId="7F391D2F" w14:textId="77777777" w:rsidR="009374A6" w:rsidRDefault="009374A6" w:rsidP="007C1C19">
      <w:pPr>
        <w:autoSpaceDE w:val="0"/>
        <w:autoSpaceDN w:val="0"/>
        <w:adjustRightInd w:val="0"/>
        <w:spacing w:after="0"/>
        <w:ind w:firstLine="0"/>
        <w:rPr>
          <w:bCs/>
        </w:rPr>
      </w:pPr>
    </w:p>
    <w:p w14:paraId="2D13999C" w14:textId="384D5398" w:rsidR="007C1C19" w:rsidRPr="000612C6" w:rsidRDefault="007C1C19" w:rsidP="007C1C19">
      <w:pPr>
        <w:autoSpaceDE w:val="0"/>
        <w:autoSpaceDN w:val="0"/>
        <w:adjustRightInd w:val="0"/>
        <w:spacing w:after="0"/>
        <w:ind w:firstLine="0"/>
        <w:rPr>
          <w:szCs w:val="20"/>
        </w:rPr>
      </w:pPr>
      <w:r w:rsidRPr="000612C6">
        <w:rPr>
          <w:bCs/>
        </w:rPr>
        <w:lastRenderedPageBreak/>
        <w:t xml:space="preserve">Dated: </w:t>
      </w:r>
      <w:r w:rsidRPr="000612C6">
        <w:rPr>
          <w:bCs/>
        </w:rPr>
        <w:fldChar w:fldCharType="begin"/>
      </w:r>
      <w:r w:rsidRPr="000612C6">
        <w:rPr>
          <w:bCs/>
        </w:rPr>
        <w:instrText xml:space="preserve"> DATE \@ "MMMM d, yyyy" </w:instrText>
      </w:r>
      <w:r w:rsidRPr="000612C6">
        <w:rPr>
          <w:bCs/>
        </w:rPr>
        <w:fldChar w:fldCharType="separate"/>
      </w:r>
      <w:r w:rsidR="006762CC">
        <w:rPr>
          <w:bCs/>
          <w:noProof/>
        </w:rPr>
        <w:t>November 6, 2023</w:t>
      </w:r>
      <w:r w:rsidRPr="000612C6">
        <w:rPr>
          <w:bCs/>
        </w:rPr>
        <w:fldChar w:fldCharType="end"/>
      </w:r>
    </w:p>
    <w:p w14:paraId="63F8C0AC" w14:textId="77777777" w:rsidR="007C1C19" w:rsidRPr="000612C6" w:rsidRDefault="007C1C19" w:rsidP="007C1C19">
      <w:pPr>
        <w:spacing w:after="0"/>
        <w:ind w:firstLine="0"/>
        <w:rPr>
          <w:bCs/>
        </w:rPr>
      </w:pPr>
    </w:p>
    <w:p w14:paraId="59047FDE" w14:textId="77777777" w:rsidR="007C1C19" w:rsidRPr="000612C6" w:rsidRDefault="007C1C19" w:rsidP="007C1C19">
      <w:pPr>
        <w:spacing w:after="0" w:line="480" w:lineRule="auto"/>
        <w:ind w:left="3600"/>
      </w:pPr>
      <w:r w:rsidRPr="000612C6">
        <w:t>Respectfully submitted,</w:t>
      </w:r>
    </w:p>
    <w:p w14:paraId="1CAA4B61" w14:textId="77777777" w:rsidR="007C1C19" w:rsidRPr="000612C6" w:rsidRDefault="007C1C19" w:rsidP="007C1C19">
      <w:pPr>
        <w:spacing w:after="0" w:line="240" w:lineRule="auto"/>
        <w:ind w:left="4320" w:firstLine="0"/>
        <w:contextualSpacing/>
        <w:rPr>
          <w:b/>
        </w:rPr>
      </w:pPr>
      <w:r w:rsidRPr="000612C6">
        <w:rPr>
          <w:b/>
        </w:rPr>
        <w:t xml:space="preserve">PUBLIC UTILITY COMMISSION OF TEXAS </w:t>
      </w:r>
    </w:p>
    <w:p w14:paraId="4C1A9903" w14:textId="77777777" w:rsidR="007C1C19" w:rsidRPr="000612C6" w:rsidRDefault="007C1C19" w:rsidP="007C1C19">
      <w:pPr>
        <w:spacing w:after="0" w:line="240" w:lineRule="auto"/>
        <w:ind w:left="4320" w:firstLine="0"/>
        <w:contextualSpacing/>
        <w:rPr>
          <w:b/>
        </w:rPr>
      </w:pPr>
      <w:r w:rsidRPr="000612C6">
        <w:rPr>
          <w:b/>
        </w:rPr>
        <w:t>LEGAL DIVISION</w:t>
      </w:r>
    </w:p>
    <w:p w14:paraId="336CDA96" w14:textId="77777777" w:rsidR="007C1C19" w:rsidRPr="000612C6" w:rsidRDefault="007C1C19" w:rsidP="007C1C19">
      <w:pPr>
        <w:spacing w:after="0" w:line="240" w:lineRule="auto"/>
        <w:ind w:firstLine="0"/>
        <w:rPr>
          <w:szCs w:val="20"/>
        </w:rPr>
      </w:pPr>
    </w:p>
    <w:p w14:paraId="720A85CE" w14:textId="4D05D4F3" w:rsidR="007C1C19" w:rsidRPr="000612C6" w:rsidRDefault="00D87BBF" w:rsidP="007C1C19">
      <w:pPr>
        <w:spacing w:after="0" w:line="240" w:lineRule="auto"/>
        <w:ind w:left="4320" w:firstLine="0"/>
        <w:rPr>
          <w:rFonts w:eastAsia="Calibri"/>
          <w:szCs w:val="20"/>
        </w:rPr>
      </w:pPr>
      <w:r>
        <w:rPr>
          <w:rFonts w:eastAsia="Calibri"/>
          <w:szCs w:val="20"/>
        </w:rPr>
        <w:t>Marisa Lopez Wagley</w:t>
      </w:r>
    </w:p>
    <w:p w14:paraId="18BC1D75" w14:textId="77777777" w:rsidR="007C1C19" w:rsidRPr="000612C6" w:rsidRDefault="007C1C19" w:rsidP="007C1C19">
      <w:pPr>
        <w:spacing w:after="0" w:line="240" w:lineRule="auto"/>
        <w:ind w:firstLine="0"/>
        <w:rPr>
          <w:szCs w:val="20"/>
        </w:rPr>
      </w:pPr>
      <w:r w:rsidRPr="000612C6">
        <w:rPr>
          <w:szCs w:val="20"/>
        </w:rPr>
        <w:tab/>
      </w:r>
      <w:r w:rsidRPr="000612C6">
        <w:rPr>
          <w:szCs w:val="20"/>
        </w:rPr>
        <w:tab/>
      </w:r>
      <w:r w:rsidRPr="000612C6">
        <w:rPr>
          <w:szCs w:val="20"/>
        </w:rPr>
        <w:tab/>
      </w:r>
      <w:r w:rsidRPr="000612C6">
        <w:rPr>
          <w:szCs w:val="20"/>
        </w:rPr>
        <w:tab/>
      </w:r>
      <w:r w:rsidRPr="000612C6">
        <w:rPr>
          <w:szCs w:val="20"/>
        </w:rPr>
        <w:tab/>
      </w:r>
      <w:r w:rsidRPr="000612C6">
        <w:rPr>
          <w:szCs w:val="20"/>
        </w:rPr>
        <w:tab/>
        <w:t xml:space="preserve">Division Director </w:t>
      </w:r>
    </w:p>
    <w:p w14:paraId="03C2E175" w14:textId="77777777" w:rsidR="007C1C19" w:rsidRPr="000612C6" w:rsidRDefault="007C1C19" w:rsidP="007C1C19">
      <w:pPr>
        <w:spacing w:after="0" w:line="240" w:lineRule="auto"/>
        <w:ind w:left="4320" w:firstLine="0"/>
        <w:rPr>
          <w:szCs w:val="20"/>
        </w:rPr>
      </w:pPr>
    </w:p>
    <w:p w14:paraId="664FF1B6" w14:textId="69348ED8" w:rsidR="007C1C19" w:rsidRPr="000612C6" w:rsidRDefault="006A4D4E" w:rsidP="007C1C19">
      <w:pPr>
        <w:spacing w:after="0" w:line="240" w:lineRule="auto"/>
        <w:ind w:firstLine="4320"/>
        <w:jc w:val="left"/>
      </w:pPr>
      <w:r>
        <w:t>Ian Groetsch</w:t>
      </w:r>
    </w:p>
    <w:p w14:paraId="23F8B367" w14:textId="77777777" w:rsidR="007C1C19" w:rsidRPr="000612C6" w:rsidRDefault="007C1C19" w:rsidP="007C1C19">
      <w:pPr>
        <w:spacing w:after="0" w:line="240" w:lineRule="auto"/>
        <w:ind w:firstLine="4320"/>
        <w:jc w:val="left"/>
      </w:pPr>
      <w:r w:rsidRPr="000612C6">
        <w:t>Managing Attorney</w:t>
      </w:r>
    </w:p>
    <w:p w14:paraId="1707398E" w14:textId="77777777" w:rsidR="007C1C19" w:rsidRPr="000612C6" w:rsidRDefault="007C1C19" w:rsidP="007C1C19">
      <w:pPr>
        <w:spacing w:after="0" w:line="240" w:lineRule="auto"/>
        <w:ind w:firstLine="4320"/>
        <w:jc w:val="left"/>
      </w:pPr>
    </w:p>
    <w:p w14:paraId="0B37CCD6"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pPr>
    </w:p>
    <w:p w14:paraId="76B9F5D2"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rPr>
          <w:u w:val="single"/>
        </w:rPr>
      </w:pPr>
      <w:r w:rsidRPr="000612C6">
        <w:rPr>
          <w:u w:val="single"/>
        </w:rPr>
        <w:t>/s/ Scott Miles</w:t>
      </w:r>
    </w:p>
    <w:p w14:paraId="57186F73"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pPr>
      <w:r w:rsidRPr="000612C6">
        <w:t>Scott Miles</w:t>
      </w:r>
    </w:p>
    <w:p w14:paraId="5F7879D9" w14:textId="03F1893D" w:rsidR="007C1C19" w:rsidRDefault="007C1C19" w:rsidP="007C1C19">
      <w:pPr>
        <w:overflowPunct w:val="0"/>
        <w:autoSpaceDE w:val="0"/>
        <w:autoSpaceDN w:val="0"/>
        <w:adjustRightInd w:val="0"/>
        <w:spacing w:after="0" w:line="240" w:lineRule="auto"/>
        <w:ind w:left="4320" w:firstLine="0"/>
        <w:jc w:val="left"/>
        <w:textAlignment w:val="baseline"/>
      </w:pPr>
      <w:r w:rsidRPr="000612C6">
        <w:t>State Bar No. 24098103</w:t>
      </w:r>
    </w:p>
    <w:p w14:paraId="642AA52D" w14:textId="26EAD59B" w:rsidR="004B5693" w:rsidRDefault="004B5693" w:rsidP="007C1C19">
      <w:pPr>
        <w:overflowPunct w:val="0"/>
        <w:autoSpaceDE w:val="0"/>
        <w:autoSpaceDN w:val="0"/>
        <w:adjustRightInd w:val="0"/>
        <w:spacing w:after="0" w:line="240" w:lineRule="auto"/>
        <w:ind w:left="4320" w:firstLine="0"/>
        <w:jc w:val="left"/>
        <w:textAlignment w:val="baseline"/>
      </w:pPr>
      <w:r>
        <w:t>Anthony Kanalas</w:t>
      </w:r>
    </w:p>
    <w:p w14:paraId="1A115F45" w14:textId="212B2D60" w:rsidR="004B5693" w:rsidRPr="000612C6" w:rsidRDefault="004B5693" w:rsidP="004B5693">
      <w:pPr>
        <w:overflowPunct w:val="0"/>
        <w:autoSpaceDE w:val="0"/>
        <w:autoSpaceDN w:val="0"/>
        <w:adjustRightInd w:val="0"/>
        <w:spacing w:after="0" w:line="240" w:lineRule="auto"/>
        <w:ind w:left="4320" w:firstLine="0"/>
        <w:jc w:val="left"/>
        <w:textAlignment w:val="baseline"/>
      </w:pPr>
      <w:r>
        <w:t>State Bar No. 24125640</w:t>
      </w:r>
    </w:p>
    <w:p w14:paraId="2BE76954"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pPr>
      <w:r w:rsidRPr="000612C6">
        <w:t>1701 N. Congress Avenue</w:t>
      </w:r>
    </w:p>
    <w:p w14:paraId="67C079C7"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pPr>
      <w:r w:rsidRPr="000612C6">
        <w:t>P.O. Box 13326</w:t>
      </w:r>
    </w:p>
    <w:p w14:paraId="5E0CC552"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pPr>
      <w:r w:rsidRPr="000612C6">
        <w:t>Austin, Texas 78711-3326</w:t>
      </w:r>
    </w:p>
    <w:p w14:paraId="2AFAC890"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pPr>
      <w:r w:rsidRPr="000612C6">
        <w:t>(512) 936-7228</w:t>
      </w:r>
    </w:p>
    <w:p w14:paraId="71ECF3C2"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pPr>
      <w:r w:rsidRPr="000612C6">
        <w:t>(512) 936-7268 (facsimile)</w:t>
      </w:r>
    </w:p>
    <w:p w14:paraId="2A504334" w14:textId="77777777" w:rsidR="007C1C19" w:rsidRDefault="007C1C19" w:rsidP="007C1C19">
      <w:pPr>
        <w:overflowPunct w:val="0"/>
        <w:autoSpaceDE w:val="0"/>
        <w:autoSpaceDN w:val="0"/>
        <w:adjustRightInd w:val="0"/>
        <w:spacing w:after="0" w:line="240" w:lineRule="auto"/>
        <w:ind w:left="4320" w:firstLine="0"/>
        <w:jc w:val="left"/>
        <w:textAlignment w:val="baseline"/>
      </w:pPr>
      <w:r w:rsidRPr="000612C6">
        <w:t>Scott.Miles@puc.texas.gov</w:t>
      </w:r>
    </w:p>
    <w:p w14:paraId="642EE0C1" w14:textId="77777777" w:rsidR="0059201D" w:rsidRPr="0051021C" w:rsidRDefault="0059201D" w:rsidP="0051021C">
      <w:pPr>
        <w:pStyle w:val="Paragraph"/>
      </w:pPr>
    </w:p>
    <w:p w14:paraId="75713529" w14:textId="262CF602" w:rsidR="002720F6" w:rsidRPr="00702788" w:rsidRDefault="00B5746B" w:rsidP="00092070">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6762CC" w:rsidRPr="00EF7381">
        <w:t>Docket</w:t>
      </w:r>
      <w:r w:rsidR="006762CC" w:rsidRPr="00D92C94">
        <w:t xml:space="preserve"> No</w:t>
      </w:r>
      <w:r w:rsidR="006762CC" w:rsidRPr="008647EB">
        <w:t>.</w:t>
      </w:r>
      <w:r w:rsidR="006762CC">
        <w:t xml:space="preserve"> 55338</w:t>
      </w:r>
      <w:r w:rsidR="006762CC" w:rsidRPr="006762CC">
        <w:rPr>
          <w:rStyle w:val="PlaceholderText"/>
        </w:rPr>
        <w:t xml:space="preserve"> </w:t>
      </w:r>
      <w:r w:rsidRPr="007E3A22">
        <w:rPr>
          <w:bCs/>
        </w:rPr>
        <w:fldChar w:fldCharType="end"/>
      </w:r>
    </w:p>
    <w:p w14:paraId="13115910" w14:textId="77777777" w:rsidR="007C1C19" w:rsidRPr="008647EB" w:rsidRDefault="007C1C19" w:rsidP="007C1C19">
      <w:pPr>
        <w:pStyle w:val="CaseCaption"/>
        <w:spacing w:after="0" w:line="360" w:lineRule="auto"/>
      </w:pPr>
      <w:r w:rsidRPr="008647EB">
        <w:t>CERTIFICATE OF SERVICE</w:t>
      </w:r>
    </w:p>
    <w:p w14:paraId="1B927556" w14:textId="1584AA48" w:rsidR="007C1C19" w:rsidRPr="008647EB" w:rsidRDefault="007C1C19" w:rsidP="007C1C19">
      <w:pPr>
        <w:pStyle w:val="Paragraph"/>
        <w:keepNext/>
        <w:keepLines/>
      </w:pPr>
      <w:r w:rsidRPr="00893EAC">
        <w:t>I certify that unless otherwise ordered by the presiding officer, notice of the filing of this document was provided to all parties of record via electronic mail on</w:t>
      </w:r>
      <w:r>
        <w:t xml:space="preserve"> </w:t>
      </w:r>
      <w:r w:rsidR="00C96690" w:rsidRPr="000612C6">
        <w:rPr>
          <w:bCs/>
        </w:rPr>
        <w:fldChar w:fldCharType="begin"/>
      </w:r>
      <w:r w:rsidR="00C96690" w:rsidRPr="000612C6">
        <w:rPr>
          <w:bCs/>
        </w:rPr>
        <w:instrText xml:space="preserve"> DATE \@ "MMMM d, yyyy" </w:instrText>
      </w:r>
      <w:r w:rsidR="00C96690" w:rsidRPr="000612C6">
        <w:rPr>
          <w:bCs/>
        </w:rPr>
        <w:fldChar w:fldCharType="separate"/>
      </w:r>
      <w:r w:rsidR="006762CC">
        <w:rPr>
          <w:bCs/>
          <w:noProof/>
        </w:rPr>
        <w:t>November 6, 2023</w:t>
      </w:r>
      <w:r w:rsidR="00C96690" w:rsidRPr="000612C6">
        <w:rPr>
          <w:bCs/>
        </w:rPr>
        <w:fldChar w:fldCharType="end"/>
      </w:r>
      <w:r w:rsidR="00351BB0">
        <w:rPr>
          <w:bCs/>
        </w:rPr>
        <w:t>,</w:t>
      </w:r>
      <w:r>
        <w:t xml:space="preserve"> </w:t>
      </w:r>
      <w:r w:rsidRPr="00893EAC">
        <w:t xml:space="preserve">in accordance with the </w:t>
      </w:r>
      <w:r>
        <w:t xml:space="preserve">Second </w:t>
      </w:r>
      <w:r w:rsidRPr="00893EAC">
        <w:t>Order Suspending Rules, issued in Project No. 50664.</w:t>
      </w:r>
      <w:r>
        <w:t xml:space="preserve"> </w:t>
      </w:r>
    </w:p>
    <w:p w14:paraId="5CAC1266" w14:textId="77777777" w:rsidR="007C1C19" w:rsidRDefault="007C1C19" w:rsidP="007C1C19">
      <w:pPr>
        <w:overflowPunct w:val="0"/>
        <w:autoSpaceDE w:val="0"/>
        <w:autoSpaceDN w:val="0"/>
        <w:adjustRightInd w:val="0"/>
        <w:spacing w:after="0" w:line="240" w:lineRule="auto"/>
        <w:ind w:left="4320" w:firstLine="0"/>
        <w:jc w:val="left"/>
        <w:textAlignment w:val="baseline"/>
        <w:rPr>
          <w:u w:val="single"/>
        </w:rPr>
      </w:pPr>
    </w:p>
    <w:p w14:paraId="504AA8B2" w14:textId="77777777" w:rsidR="007C1C19" w:rsidRDefault="007C1C19" w:rsidP="007C1C19">
      <w:pPr>
        <w:overflowPunct w:val="0"/>
        <w:autoSpaceDE w:val="0"/>
        <w:autoSpaceDN w:val="0"/>
        <w:adjustRightInd w:val="0"/>
        <w:spacing w:after="0" w:line="240" w:lineRule="auto"/>
        <w:ind w:left="4320" w:firstLine="0"/>
        <w:jc w:val="left"/>
        <w:textAlignment w:val="baseline"/>
        <w:rPr>
          <w:u w:val="single"/>
        </w:rPr>
      </w:pPr>
    </w:p>
    <w:p w14:paraId="5B36A61B"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rPr>
          <w:u w:val="single"/>
        </w:rPr>
      </w:pPr>
      <w:r w:rsidRPr="000612C6">
        <w:rPr>
          <w:u w:val="single"/>
        </w:rPr>
        <w:t>/s/ Scott Miles</w:t>
      </w:r>
    </w:p>
    <w:p w14:paraId="5A8F33CC"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pPr>
      <w:r w:rsidRPr="000612C6">
        <w:t>Scott Miles</w:t>
      </w:r>
    </w:p>
    <w:p w14:paraId="42C2F8B8" w14:textId="77777777" w:rsidR="00DA790F" w:rsidRPr="00893EAC" w:rsidRDefault="00DA790F" w:rsidP="007C1C19">
      <w:pPr>
        <w:pStyle w:val="CaseCaption"/>
        <w:rPr>
          <w:szCs w:val="20"/>
          <w:u w:val="single"/>
        </w:rPr>
      </w:pPr>
    </w:p>
    <w:sectPr w:rsidR="00DA790F" w:rsidRPr="00893EAC" w:rsidSect="00844885">
      <w:headerReference w:type="default" r:id="rId8"/>
      <w:footerReference w:type="even" r:id="rId9"/>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AA6AA" w14:textId="77777777" w:rsidR="0060450D" w:rsidRDefault="0060450D">
      <w:pPr>
        <w:spacing w:after="0" w:line="240" w:lineRule="auto"/>
      </w:pPr>
      <w:r>
        <w:separator/>
      </w:r>
    </w:p>
  </w:endnote>
  <w:endnote w:type="continuationSeparator" w:id="0">
    <w:p w14:paraId="09142994" w14:textId="77777777" w:rsidR="0060450D" w:rsidRDefault="006045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51E61"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AAB449F" w14:textId="77777777" w:rsidR="00071BFA" w:rsidRDefault="00071BFA" w:rsidP="008016FB">
    <w:pPr>
      <w:pStyle w:val="Footer"/>
    </w:pPr>
  </w:p>
  <w:p w14:paraId="67744DA1" w14:textId="77777777" w:rsidR="00071BFA" w:rsidRDefault="00071BFA" w:rsidP="008016FB"/>
  <w:p w14:paraId="73D31514"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2797E" w14:textId="77777777" w:rsidR="0060450D" w:rsidRDefault="0060450D">
      <w:pPr>
        <w:spacing w:after="0" w:line="240" w:lineRule="auto"/>
      </w:pPr>
      <w:r>
        <w:separator/>
      </w:r>
    </w:p>
  </w:footnote>
  <w:footnote w:type="continuationSeparator" w:id="0">
    <w:p w14:paraId="79109458" w14:textId="77777777" w:rsidR="0060450D" w:rsidRDefault="0060450D">
      <w:pPr>
        <w:spacing w:after="0" w:line="240" w:lineRule="auto"/>
      </w:pPr>
      <w:r>
        <w:continuationSeparator/>
      </w:r>
    </w:p>
  </w:footnote>
  <w:footnote w:type="continuationNotice" w:id="1">
    <w:p w14:paraId="0C05247F" w14:textId="77777777" w:rsidR="0060450D" w:rsidRDefault="0060450D">
      <w:pPr>
        <w:spacing w:after="0" w:line="240" w:lineRule="auto"/>
      </w:pPr>
    </w:p>
  </w:footnote>
  <w:footnote w:id="2">
    <w:p w14:paraId="28B88266" w14:textId="0070BDA2" w:rsidR="007A50E5" w:rsidRDefault="007A50E5">
      <w:pPr>
        <w:pStyle w:val="FootnoteText"/>
      </w:pPr>
      <w:r>
        <w:rPr>
          <w:rStyle w:val="FootnoteReference"/>
        </w:rPr>
        <w:footnoteRef/>
      </w:r>
      <w:r w:rsidR="00D87BBF">
        <w:t xml:space="preserve">  </w:t>
      </w:r>
      <w:r w:rsidR="00D87BBF" w:rsidRPr="00D87BBF">
        <w:rPr>
          <w:i/>
          <w:iCs/>
        </w:rPr>
        <w:t>Application of Entergy Texas, Inc. for Authority to Change Rates</w:t>
      </w:r>
      <w:r w:rsidR="00D87BBF">
        <w:t xml:space="preserve">, Docket No. 53719 (Aug. 24, 2023).  </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F004A"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1E6E8B"/>
    <w:multiLevelType w:val="hybridMultilevel"/>
    <w:tmpl w:val="0A88525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1DCD679F"/>
    <w:multiLevelType w:val="hybridMultilevel"/>
    <w:tmpl w:val="13561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6"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1"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4"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791749124">
    <w:abstractNumId w:val="11"/>
  </w:num>
  <w:num w:numId="2" w16cid:durableId="1226450275">
    <w:abstractNumId w:val="26"/>
  </w:num>
  <w:num w:numId="3" w16cid:durableId="1958220043">
    <w:abstractNumId w:val="17"/>
  </w:num>
  <w:num w:numId="4" w16cid:durableId="1204486254">
    <w:abstractNumId w:val="13"/>
  </w:num>
  <w:num w:numId="5" w16cid:durableId="1650861921">
    <w:abstractNumId w:val="25"/>
  </w:num>
  <w:num w:numId="6" w16cid:durableId="1883977695">
    <w:abstractNumId w:val="24"/>
  </w:num>
  <w:num w:numId="7" w16cid:durableId="1015032767">
    <w:abstractNumId w:val="18"/>
  </w:num>
  <w:num w:numId="8" w16cid:durableId="1381856059">
    <w:abstractNumId w:val="19"/>
  </w:num>
  <w:num w:numId="9" w16cid:durableId="322241663">
    <w:abstractNumId w:val="22"/>
  </w:num>
  <w:num w:numId="10" w16cid:durableId="845747698">
    <w:abstractNumId w:val="23"/>
  </w:num>
  <w:num w:numId="11" w16cid:durableId="652560273">
    <w:abstractNumId w:val="15"/>
  </w:num>
  <w:num w:numId="12" w16cid:durableId="1340890151">
    <w:abstractNumId w:val="21"/>
  </w:num>
  <w:num w:numId="13" w16cid:durableId="448277437">
    <w:abstractNumId w:val="9"/>
  </w:num>
  <w:num w:numId="14" w16cid:durableId="254630126">
    <w:abstractNumId w:val="7"/>
  </w:num>
  <w:num w:numId="15" w16cid:durableId="1746146829">
    <w:abstractNumId w:val="6"/>
  </w:num>
  <w:num w:numId="16" w16cid:durableId="400760602">
    <w:abstractNumId w:val="5"/>
  </w:num>
  <w:num w:numId="17" w16cid:durableId="1669209550">
    <w:abstractNumId w:val="4"/>
  </w:num>
  <w:num w:numId="18" w16cid:durableId="748385594">
    <w:abstractNumId w:val="8"/>
  </w:num>
  <w:num w:numId="19" w16cid:durableId="714087613">
    <w:abstractNumId w:val="3"/>
  </w:num>
  <w:num w:numId="20" w16cid:durableId="1651052261">
    <w:abstractNumId w:val="2"/>
  </w:num>
  <w:num w:numId="21" w16cid:durableId="764108071">
    <w:abstractNumId w:val="1"/>
  </w:num>
  <w:num w:numId="22" w16cid:durableId="1835140551">
    <w:abstractNumId w:val="0"/>
  </w:num>
  <w:num w:numId="23" w16cid:durableId="1253078378">
    <w:abstractNumId w:val="12"/>
  </w:num>
  <w:num w:numId="24" w16cid:durableId="946500286">
    <w:abstractNumId w:val="16"/>
  </w:num>
  <w:num w:numId="25" w16cid:durableId="760444746">
    <w:abstractNumId w:val="20"/>
  </w:num>
  <w:num w:numId="26" w16cid:durableId="363795837">
    <w:abstractNumId w:val="14"/>
  </w:num>
  <w:num w:numId="27" w16cid:durableId="8727643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50D"/>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3E8B"/>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1624"/>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B79"/>
    <w:rsid w:val="00323DE8"/>
    <w:rsid w:val="00324F0F"/>
    <w:rsid w:val="003313F9"/>
    <w:rsid w:val="00332458"/>
    <w:rsid w:val="003346A4"/>
    <w:rsid w:val="00334DB1"/>
    <w:rsid w:val="00336ACF"/>
    <w:rsid w:val="00340539"/>
    <w:rsid w:val="0034088B"/>
    <w:rsid w:val="00341854"/>
    <w:rsid w:val="003455B0"/>
    <w:rsid w:val="00351B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3BD8"/>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3DAD"/>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5693"/>
    <w:rsid w:val="004B6634"/>
    <w:rsid w:val="004B6D44"/>
    <w:rsid w:val="004C14AA"/>
    <w:rsid w:val="004C1625"/>
    <w:rsid w:val="004C3862"/>
    <w:rsid w:val="004C45BE"/>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287"/>
    <w:rsid w:val="00565710"/>
    <w:rsid w:val="00566A31"/>
    <w:rsid w:val="00566D9A"/>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01"/>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450D"/>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2CC"/>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4D4E"/>
    <w:rsid w:val="006A6EC4"/>
    <w:rsid w:val="006B2768"/>
    <w:rsid w:val="006C2E8A"/>
    <w:rsid w:val="006C323B"/>
    <w:rsid w:val="006C376D"/>
    <w:rsid w:val="006C7292"/>
    <w:rsid w:val="006D13DF"/>
    <w:rsid w:val="006D3B00"/>
    <w:rsid w:val="006D63FC"/>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4578"/>
    <w:rsid w:val="00796EEE"/>
    <w:rsid w:val="007972AD"/>
    <w:rsid w:val="0079784E"/>
    <w:rsid w:val="007A38A3"/>
    <w:rsid w:val="007A424D"/>
    <w:rsid w:val="007A50E5"/>
    <w:rsid w:val="007A5F84"/>
    <w:rsid w:val="007A618F"/>
    <w:rsid w:val="007B1473"/>
    <w:rsid w:val="007B3FD1"/>
    <w:rsid w:val="007B5AE9"/>
    <w:rsid w:val="007B6943"/>
    <w:rsid w:val="007B7B01"/>
    <w:rsid w:val="007B7FB8"/>
    <w:rsid w:val="007C074A"/>
    <w:rsid w:val="007C1C19"/>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57F0A"/>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374A6"/>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6B36"/>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6F85"/>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059B"/>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169A"/>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96690"/>
    <w:rsid w:val="00CA0C45"/>
    <w:rsid w:val="00CA3F65"/>
    <w:rsid w:val="00CA5AAF"/>
    <w:rsid w:val="00CA5C56"/>
    <w:rsid w:val="00CB0A97"/>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4CEE"/>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87BBF"/>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5170"/>
    <w:rsid w:val="00DF60AA"/>
    <w:rsid w:val="00E01327"/>
    <w:rsid w:val="00E05082"/>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133"/>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37E3"/>
    <w:rsid w:val="00F64146"/>
    <w:rsid w:val="00F6501E"/>
    <w:rsid w:val="00F66A19"/>
    <w:rsid w:val="00F66C8C"/>
    <w:rsid w:val="00F67DFD"/>
    <w:rsid w:val="00F701DF"/>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A9DAE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paragraph" w:styleId="Revision">
    <w:name w:val="Revision"/>
    <w:hidden/>
    <w:uiPriority w:val="99"/>
    <w:semiHidden/>
    <w:rsid w:val="00433DAD"/>
    <w:rPr>
      <w:sz w:val="24"/>
      <w:szCs w:val="24"/>
    </w:rPr>
  </w:style>
  <w:style w:type="character" w:styleId="CommentReference">
    <w:name w:val="annotation reference"/>
    <w:basedOn w:val="DefaultParagraphFont"/>
    <w:rsid w:val="00B3059B"/>
    <w:rPr>
      <w:sz w:val="16"/>
      <w:szCs w:val="16"/>
    </w:rPr>
  </w:style>
  <w:style w:type="paragraph" w:styleId="CommentText">
    <w:name w:val="annotation text"/>
    <w:basedOn w:val="Normal"/>
    <w:link w:val="CommentTextChar"/>
    <w:rsid w:val="00B3059B"/>
    <w:pPr>
      <w:spacing w:line="240" w:lineRule="auto"/>
    </w:pPr>
    <w:rPr>
      <w:sz w:val="20"/>
      <w:szCs w:val="20"/>
    </w:rPr>
  </w:style>
  <w:style w:type="character" w:customStyle="1" w:styleId="CommentTextChar">
    <w:name w:val="Comment Text Char"/>
    <w:basedOn w:val="DefaultParagraphFont"/>
    <w:link w:val="CommentText"/>
    <w:rsid w:val="00B3059B"/>
  </w:style>
  <w:style w:type="paragraph" w:styleId="CommentSubject">
    <w:name w:val="annotation subject"/>
    <w:basedOn w:val="CommentText"/>
    <w:next w:val="CommentText"/>
    <w:link w:val="CommentSubjectChar"/>
    <w:rsid w:val="00B3059B"/>
    <w:rPr>
      <w:b/>
      <w:bCs/>
    </w:rPr>
  </w:style>
  <w:style w:type="character" w:customStyle="1" w:styleId="CommentSubjectChar">
    <w:name w:val="Comment Subject Char"/>
    <w:basedOn w:val="CommentTextChar"/>
    <w:link w:val="CommentSubject"/>
    <w:rsid w:val="00B3059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F6D10E449C14A32BFD4D4AAC3587DA4"/>
        <w:category>
          <w:name w:val="General"/>
          <w:gallery w:val="placeholder"/>
        </w:category>
        <w:types>
          <w:type w:val="bbPlcHdr"/>
        </w:types>
        <w:behaviors>
          <w:behavior w:val="content"/>
        </w:behaviors>
        <w:guid w:val="{5F6B3307-FB5E-4FAA-9CCD-9845E957893B}"/>
      </w:docPartPr>
      <w:docPartBody>
        <w:p w:rsidR="008D0529" w:rsidRDefault="00612FAA">
          <w:pPr>
            <w:pStyle w:val="8F6D10E449C14A32BFD4D4AAC3587DA4"/>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2FAA"/>
    <w:rsid w:val="00612FAA"/>
    <w:rsid w:val="008D05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12FAA"/>
    <w:rPr>
      <w:color w:val="808080"/>
    </w:rPr>
  </w:style>
  <w:style w:type="paragraph" w:customStyle="1" w:styleId="8F6D10E449C14A32BFD4D4AAC3587DA4">
    <w:name w:val="8F6D10E449C14A32BFD4D4AAC3587DA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911</Words>
  <Characters>4978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2023-11-06T18:57:00Z</dcterms:created>
  <dcterms:modified xsi:type="dcterms:W3CDTF">2023-11-06T21:07:00Z</dcterms:modified>
</cp:coreProperties>
</file>